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501</w:t>
      </w:r>
    </w:p>
    <w:p>
      <w:r>
        <w:t>Bundesgericht (BGE), 1998-11-05, FR</w:t>
      </w:r>
    </w:p>
    <w:p>
      <w:r>
        <w:rPr>
          <w:b/>
        </w:rPr>
        <w:t xml:space="preserve">Quelle: </w:t>
      </w:r>
      <w:r>
        <w:t>https://mcp.opencaselaw.ch/entscheid/bge_124 III 501</w:t>
      </w:r>
    </w:p>
    <w:p>
      <w:r>
        <w:t>FR: ATF 124 III 501</w:t>
      </w:r>
    </w:p>
    <w:p>
      <w:r>
        <w:t>IT: DTF 124 III 501</w:t>
      </w:r>
    </w:p>
    <w:p>
      <w:pPr>
        <w:pStyle w:val="Heading2"/>
      </w:pPr>
      <w:r>
        <w:t>Regeste</w:t>
      </w:r>
    </w:p>
    <w:p>
      <w:r>
        <w:t>Regeste Art. 81 Abs. 1 SchKG; Einwendungen bei der definitiven Rechtsöffnung; Einreden des Schuldners bei teilweiser Tilgung der Schuld; Prüfungsbefugnis des Rechtsöffnungsrichters. Gemäss Art. 81 Abs. 1 SchKG kann der Richter nur eng beschränkte Mittel zur Abwehr zulassen, die der Schuldner durch Urkunden zu beweisen hat (E. 3a). Bei teilweiser Tilgung der Schuld kann definitive Rechtsöffnung daher nur für den erloschenen Teil der Schuld verweigert werden; der Schuldner hat durch Urkunden den Grund der teilweisen Tilgung und den entsprechenden Betrag darzulegen, ansonsten definitive Rechtsöffnung für die ganze Schuld zu erteilen ist (E. 3b). Im vorliegenden Fall verletzt der Entscheid, die Rechtsöffnung nicht zu gewähren, diese Grundsätze (E. 3c) und führt darüber hinaus zu einem willkürlichen Ergebnis, indem der Gläubigerin und ihrem Sohn die gestützt auf ein vollstreckbares Urteil geschuldeten Unterhaltsbeiträge vorenthalten werden (E. 3d).</w:t>
      </w:r>
    </w:p>
    <w:p>
      <w:pPr>
        <w:pStyle w:val="Heading2"/>
      </w:pPr>
      <w:r>
        <w:t>Erwägungen</w:t>
      </w:r>
    </w:p>
    <w:p>
      <w:r>
        <w:rPr>
          <w:b/>
        </w:rPr>
        <w:t>E. 3</w:t>
      </w:r>
    </w:p>
    <w:p>
      <w:r>
        <w:t>La recourante fait valoir que les juges cantonaux ont outrepassé de manière arbitraire le pouvoir de cognition accordé au juge de la mainlevée dans le cadre de l' art. 81 al. 1 LP . Leur décision aboutirait en outre à un résultat choquant. a) En vertu de l' art. 81 al. 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 ATF 113 III 6 consid. 1b p. 9/10; GILLIÉRON, Poursuite pour dettes, faillite et concordat, 3e éd., Lausanne 1993, p. 144). La loi elle-même ( art. 81 al. 1 LP ) imposant au débiteur le fardeau de la preuve et fixant le mode de preuve, le juge ne peut admettre que les moyens de défense du débiteur - étroitement limités ( ATF 115 III 97 consid. 4 p. 100) - que celui-ci prouve par titre. A la différence de ce qui se passe pour la mainlevée provisoire ( art. 82 al. 2 LP ), il ne suffit donc pas d'invoquer la vraisemblance du paiement: le titre de mainlevée au sens de l' art. 81 al. 1 LP créant la présomption que la dette existe, cette présomption ne peut être renversée que par la preuve stricte du contraire ( ATF 104 Ia 14 consid. 2 p. 15).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 ATF 115 III 97 consid. 4b in fine, p. 101; ATF 113 III 82 consid. 2c p. 86). b) L'extinction de la dette - moyen de défense invoqué ici par le débiteur - peut intervenir non seulement par paiement, remise de dette, compensation ou accomplissement d'une condition résolutoire, mais aussi en vertu de toute autre cause de droit civil (JAEGER/WALDER/KULL/KOTTMANN, SchKG, 4e éd., n. 6 ad art. 81, p. 357; DIETER GESSLER, Scheidungsurteile als definitive Rechtsöffnungstitel, RSJ 1987, p. 249 et les références à la note 4). On l'a vu, c'est au débiteur qu'il incombe d'établir que la dette est éteinte. En cas d'extinction partielle, le juge ne peut refuser la mainlevée définitive pour la partie éteinte de la dette que si la cause de cette extinction BGE 124 III 501 S. 504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 dette. Mais s'il a bien établi que celle-ci est intervenue en vertu d'une cause de droit civil ( art. 277 al. 2 CC ),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 art. 81 al. 1 LP ,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